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6C9" w:rsidRDefault="006B56C9" w:rsidP="00DC666B">
      <w:pPr>
        <w:contextualSpacing/>
        <w:jc w:val="both"/>
        <w:rPr>
          <w:bCs/>
          <w:lang w:val="en-GB"/>
        </w:rPr>
      </w:pPr>
      <w:bookmarkStart w:id="0" w:name="_GoBack"/>
      <w:bookmarkEnd w:id="0"/>
      <w:r>
        <w:rPr>
          <w:bCs/>
          <w:lang w:val="en-GB"/>
        </w:rPr>
        <w:t xml:space="preserve">My </w:t>
      </w:r>
      <w:r w:rsidR="00BD610A">
        <w:rPr>
          <w:bCs/>
          <w:lang w:val="en-GB"/>
        </w:rPr>
        <w:t>dear colleagues,</w:t>
      </w:r>
    </w:p>
    <w:p w:rsidR="006B56C9" w:rsidRDefault="006B56C9" w:rsidP="00DC666B">
      <w:pPr>
        <w:contextualSpacing/>
        <w:jc w:val="both"/>
        <w:rPr>
          <w:bCs/>
          <w:lang w:val="en-GB"/>
        </w:rPr>
      </w:pPr>
    </w:p>
    <w:p w:rsidR="006D0EFE" w:rsidRPr="0092294B" w:rsidRDefault="006D0EFE" w:rsidP="00DC666B">
      <w:pPr>
        <w:contextualSpacing/>
        <w:jc w:val="both"/>
        <w:rPr>
          <w:bCs/>
          <w:lang w:val="en-GB"/>
        </w:rPr>
      </w:pPr>
      <w:r w:rsidRPr="0092294B">
        <w:rPr>
          <w:bCs/>
          <w:lang w:val="en-GB"/>
        </w:rPr>
        <w:t xml:space="preserve">I would like to pick upon my Czech colleague President Jirousek and point out another issue related to the </w:t>
      </w:r>
      <w:r w:rsidR="00D94E83">
        <w:rPr>
          <w:bCs/>
          <w:lang w:val="en-GB"/>
        </w:rPr>
        <w:t xml:space="preserve">principle </w:t>
      </w:r>
      <w:r w:rsidRPr="0092294B">
        <w:rPr>
          <w:bCs/>
          <w:lang w:val="en-GB"/>
        </w:rPr>
        <w:t xml:space="preserve">of confidentiality </w:t>
      </w:r>
      <w:r w:rsidR="00D94E83">
        <w:rPr>
          <w:bCs/>
          <w:lang w:val="en-GB"/>
        </w:rPr>
        <w:t>that we are struggling with in Slovakia.</w:t>
      </w:r>
      <w:r w:rsidR="00706DC1" w:rsidRPr="0092294B">
        <w:rPr>
          <w:bCs/>
          <w:lang w:val="en-GB"/>
        </w:rPr>
        <w:t xml:space="preserve"> It is the </w:t>
      </w:r>
      <w:r w:rsidRPr="0092294B">
        <w:rPr>
          <w:bCs/>
          <w:lang w:val="en-GB"/>
        </w:rPr>
        <w:t xml:space="preserve">question of </w:t>
      </w:r>
      <w:r w:rsidR="00706DC1" w:rsidRPr="0092294B">
        <w:rPr>
          <w:bCs/>
          <w:lang w:val="en-GB"/>
        </w:rPr>
        <w:t xml:space="preserve">Slovak </w:t>
      </w:r>
      <w:r w:rsidR="00DC666B">
        <w:rPr>
          <w:bCs/>
          <w:lang w:val="en-GB"/>
        </w:rPr>
        <w:t>Antimonopoly</w:t>
      </w:r>
      <w:r w:rsidRPr="0092294B">
        <w:rPr>
          <w:bCs/>
          <w:lang w:val="en-GB"/>
        </w:rPr>
        <w:t xml:space="preserve"> Office </w:t>
      </w:r>
      <w:r w:rsidR="00706DC1" w:rsidRPr="0092294B">
        <w:rPr>
          <w:bCs/>
          <w:lang w:val="en-GB"/>
        </w:rPr>
        <w:t>competences and the protection of confidentiality</w:t>
      </w:r>
      <w:r w:rsidR="00D94E83">
        <w:rPr>
          <w:bCs/>
          <w:lang w:val="en-GB"/>
        </w:rPr>
        <w:t xml:space="preserve"> of the lawyer-client communication</w:t>
      </w:r>
      <w:r w:rsidR="00706DC1" w:rsidRPr="0092294B">
        <w:rPr>
          <w:bCs/>
          <w:lang w:val="en-GB"/>
        </w:rPr>
        <w:t xml:space="preserve">. </w:t>
      </w:r>
    </w:p>
    <w:p w:rsidR="006D0EFE" w:rsidRPr="0092294B" w:rsidRDefault="006D0EFE" w:rsidP="00DC666B">
      <w:pPr>
        <w:contextualSpacing/>
        <w:jc w:val="both"/>
        <w:rPr>
          <w:bCs/>
          <w:lang w:val="en-GB"/>
        </w:rPr>
      </w:pPr>
    </w:p>
    <w:p w:rsidR="006D0EFE" w:rsidRPr="0092294B" w:rsidRDefault="006D0EFE" w:rsidP="00DC666B">
      <w:pPr>
        <w:contextualSpacing/>
        <w:jc w:val="both"/>
        <w:rPr>
          <w:bCs/>
          <w:lang w:val="en-GB"/>
        </w:rPr>
      </w:pPr>
      <w:r w:rsidRPr="0092294B">
        <w:rPr>
          <w:bCs/>
          <w:lang w:val="en-GB"/>
        </w:rPr>
        <w:t xml:space="preserve">This issue has two layers. </w:t>
      </w:r>
    </w:p>
    <w:p w:rsidR="006D0EFE" w:rsidRPr="0092294B" w:rsidRDefault="006D0EFE" w:rsidP="00DC666B">
      <w:pPr>
        <w:contextualSpacing/>
        <w:jc w:val="both"/>
        <w:rPr>
          <w:bCs/>
          <w:lang w:val="en-GB"/>
        </w:rPr>
      </w:pPr>
    </w:p>
    <w:p w:rsidR="006D0EFE" w:rsidRDefault="006D0EFE" w:rsidP="00DC666B">
      <w:pPr>
        <w:contextualSpacing/>
        <w:jc w:val="both"/>
        <w:rPr>
          <w:bCs/>
          <w:lang w:val="en-GB"/>
        </w:rPr>
      </w:pPr>
      <w:r w:rsidRPr="0092294B">
        <w:rPr>
          <w:bCs/>
          <w:lang w:val="en-GB"/>
        </w:rPr>
        <w:t xml:space="preserve">One thing is the concept of the confidentiality </w:t>
      </w:r>
      <w:r w:rsidR="00706DC1" w:rsidRPr="0092294B">
        <w:rPr>
          <w:bCs/>
          <w:lang w:val="en-GB"/>
        </w:rPr>
        <w:t xml:space="preserve">itself </w:t>
      </w:r>
      <w:r w:rsidRPr="0092294B">
        <w:rPr>
          <w:bCs/>
          <w:lang w:val="en-GB"/>
        </w:rPr>
        <w:t>and its variations in Europe. Duty of confidentiality in Slovak legal order is based on the duty of the lawyer and not the protection</w:t>
      </w:r>
      <w:r w:rsidR="00706DC1" w:rsidRPr="0092294B">
        <w:rPr>
          <w:bCs/>
          <w:lang w:val="en-GB"/>
        </w:rPr>
        <w:t xml:space="preserve"> of the confidentiality</w:t>
      </w:r>
      <w:r w:rsidR="0092294B">
        <w:rPr>
          <w:bCs/>
          <w:lang w:val="en-GB"/>
        </w:rPr>
        <w:t xml:space="preserve"> of information</w:t>
      </w:r>
      <w:r w:rsidR="00706DC1" w:rsidRPr="0092294B">
        <w:rPr>
          <w:bCs/>
          <w:lang w:val="en-GB"/>
        </w:rPr>
        <w:t xml:space="preserve"> itself which puts us (lawyers and Slovak Bar Association) in a more difficult position when dealing with the </w:t>
      </w:r>
      <w:r w:rsidR="00DC666B">
        <w:rPr>
          <w:bCs/>
          <w:lang w:val="en-GB"/>
        </w:rPr>
        <w:t>Antimonopoly</w:t>
      </w:r>
      <w:r w:rsidR="00706DC1" w:rsidRPr="0092294B">
        <w:rPr>
          <w:bCs/>
          <w:lang w:val="en-GB"/>
        </w:rPr>
        <w:t xml:space="preserve"> Office. </w:t>
      </w:r>
      <w:r w:rsidR="00D94E83">
        <w:rPr>
          <w:bCs/>
          <w:lang w:val="en-GB"/>
        </w:rPr>
        <w:t>Moreover, l</w:t>
      </w:r>
      <w:r w:rsidR="00706DC1" w:rsidRPr="0092294B">
        <w:rPr>
          <w:bCs/>
          <w:lang w:val="en-GB"/>
        </w:rPr>
        <w:t>awyers themselves are starting to confuse the common law concept with our</w:t>
      </w:r>
      <w:r w:rsidR="00D94E83">
        <w:rPr>
          <w:bCs/>
          <w:lang w:val="en-GB"/>
        </w:rPr>
        <w:t xml:space="preserve">s or perhaps they do it intentionally in order to support their claim. </w:t>
      </w:r>
    </w:p>
    <w:p w:rsidR="00D94E83" w:rsidRDefault="00D94E83" w:rsidP="00DC666B">
      <w:pPr>
        <w:contextualSpacing/>
        <w:jc w:val="both"/>
        <w:rPr>
          <w:bCs/>
          <w:lang w:val="en-GB"/>
        </w:rPr>
      </w:pPr>
    </w:p>
    <w:p w:rsidR="00D94E83" w:rsidRPr="0092294B" w:rsidRDefault="00D94E83" w:rsidP="00DC666B">
      <w:pPr>
        <w:contextualSpacing/>
        <w:jc w:val="both"/>
        <w:rPr>
          <w:bCs/>
          <w:lang w:val="en-GB"/>
        </w:rPr>
      </w:pPr>
      <w:r>
        <w:rPr>
          <w:bCs/>
          <w:lang w:val="en-GB"/>
        </w:rPr>
        <w:t xml:space="preserve">On the other hand, the Slovak Bar Association would like to set a clear line for the Slovak </w:t>
      </w:r>
      <w:r w:rsidR="00DC666B">
        <w:rPr>
          <w:bCs/>
          <w:lang w:val="en-GB"/>
        </w:rPr>
        <w:t>Antimonopoly</w:t>
      </w:r>
      <w:r>
        <w:rPr>
          <w:bCs/>
          <w:lang w:val="en-GB"/>
        </w:rPr>
        <w:t xml:space="preserve"> Office so that it does respect the confidentiality between the client and the lawyer but we are in need of stronger legislative background to do it. </w:t>
      </w:r>
    </w:p>
    <w:p w:rsidR="0092294B" w:rsidRPr="0092294B" w:rsidRDefault="0092294B" w:rsidP="00DC666B">
      <w:pPr>
        <w:contextualSpacing/>
        <w:jc w:val="both"/>
        <w:rPr>
          <w:bCs/>
          <w:lang w:val="en-GB"/>
        </w:rPr>
      </w:pPr>
    </w:p>
    <w:p w:rsidR="0092294B" w:rsidRDefault="0092294B" w:rsidP="00DC666B">
      <w:pPr>
        <w:contextualSpacing/>
        <w:jc w:val="both"/>
        <w:rPr>
          <w:bCs/>
          <w:lang w:val="en-GB"/>
        </w:rPr>
      </w:pPr>
      <w:r w:rsidRPr="0092294B">
        <w:rPr>
          <w:bCs/>
          <w:lang w:val="en-GB"/>
        </w:rPr>
        <w:t xml:space="preserve">According to </w:t>
      </w:r>
      <w:r>
        <w:rPr>
          <w:bCs/>
          <w:lang w:val="en-GB"/>
        </w:rPr>
        <w:t>the Act on the legal profession:</w:t>
      </w:r>
    </w:p>
    <w:p w:rsidR="0092294B" w:rsidRPr="0092294B" w:rsidRDefault="0092294B" w:rsidP="00DC666B">
      <w:pPr>
        <w:contextualSpacing/>
        <w:jc w:val="both"/>
        <w:rPr>
          <w:bCs/>
          <w:lang w:val="en-GB"/>
        </w:rPr>
      </w:pPr>
    </w:p>
    <w:tbl>
      <w:tblPr>
        <w:tblStyle w:val="Tabela-Siatka"/>
        <w:tblW w:w="0" w:type="auto"/>
        <w:tblLook w:val="04A0" w:firstRow="1" w:lastRow="0" w:firstColumn="1" w:lastColumn="0" w:noHBand="0" w:noVBand="1"/>
      </w:tblPr>
      <w:tblGrid>
        <w:gridCol w:w="9212"/>
      </w:tblGrid>
      <w:tr w:rsidR="0092294B" w:rsidRPr="0092294B" w:rsidTr="0092294B">
        <w:tc>
          <w:tcPr>
            <w:tcW w:w="9212" w:type="dxa"/>
          </w:tcPr>
          <w:p w:rsidR="0092294B" w:rsidRPr="0092294B" w:rsidRDefault="0092294B" w:rsidP="00DC666B">
            <w:pPr>
              <w:tabs>
                <w:tab w:val="left" w:pos="567"/>
              </w:tabs>
              <w:jc w:val="both"/>
              <w:rPr>
                <w:i/>
                <w:sz w:val="22"/>
                <w:szCs w:val="22"/>
                <w:lang w:val="en-GB"/>
              </w:rPr>
            </w:pPr>
          </w:p>
          <w:p w:rsidR="0092294B" w:rsidRPr="001C197B" w:rsidRDefault="0092294B" w:rsidP="00DC666B">
            <w:pPr>
              <w:tabs>
                <w:tab w:val="left" w:pos="567"/>
              </w:tabs>
              <w:jc w:val="both"/>
              <w:rPr>
                <w:i/>
                <w:szCs w:val="22"/>
                <w:lang w:val="en-GB"/>
              </w:rPr>
            </w:pPr>
            <w:r w:rsidRPr="001C197B">
              <w:rPr>
                <w:i/>
                <w:szCs w:val="22"/>
                <w:lang w:val="en-GB"/>
              </w:rPr>
              <w:t xml:space="preserve">The lawyer is obliged not to reveal any information learnt in connection with the practice of law and shall treat such information as strictly confidential unless otherwise provided by a special act on </w:t>
            </w:r>
            <w:r w:rsidRPr="001C197B">
              <w:rPr>
                <w:i/>
                <w:szCs w:val="22"/>
              </w:rPr>
              <w:t xml:space="preserve">the prevention of legalization of proceeds of criminal </w:t>
            </w:r>
            <w:r w:rsidR="00B13731">
              <w:rPr>
                <w:i/>
                <w:szCs w:val="22"/>
              </w:rPr>
              <w:t>activity and terrorist financing.</w:t>
            </w:r>
          </w:p>
          <w:p w:rsidR="0092294B" w:rsidRPr="001C197B" w:rsidRDefault="0092294B" w:rsidP="00DC666B">
            <w:pPr>
              <w:tabs>
                <w:tab w:val="left" w:pos="567"/>
              </w:tabs>
              <w:ind w:left="567" w:hanging="567"/>
              <w:jc w:val="both"/>
              <w:rPr>
                <w:i/>
                <w:szCs w:val="22"/>
                <w:lang w:val="en-GB"/>
              </w:rPr>
            </w:pPr>
          </w:p>
          <w:p w:rsidR="0092294B" w:rsidRPr="001C197B" w:rsidRDefault="0092294B" w:rsidP="00DC666B">
            <w:pPr>
              <w:tabs>
                <w:tab w:val="left" w:pos="567"/>
              </w:tabs>
              <w:jc w:val="both"/>
              <w:rPr>
                <w:i/>
                <w:szCs w:val="22"/>
                <w:lang w:val="en-GB"/>
              </w:rPr>
            </w:pPr>
            <w:r w:rsidRPr="001C197B">
              <w:rPr>
                <w:i/>
                <w:szCs w:val="22"/>
                <w:lang w:val="en-GB"/>
              </w:rPr>
              <w:t xml:space="preserve">The lawyer may be released from the duty of confidentiality by the </w:t>
            </w:r>
            <w:r w:rsidR="00C16732" w:rsidRPr="001C197B">
              <w:rPr>
                <w:i/>
                <w:szCs w:val="22"/>
                <w:lang w:val="en-GB"/>
              </w:rPr>
              <w:t>client</w:t>
            </w:r>
            <w:r w:rsidRPr="001C197B">
              <w:rPr>
                <w:i/>
                <w:szCs w:val="22"/>
                <w:lang w:val="en-GB"/>
              </w:rPr>
              <w:t xml:space="preserve"> and after his client´s death or dissolution only by the client´s legal successor. If the client has several legal successors, release from the duty of confidentiality shall take effect subject to the prior written consent of all legal successors. </w:t>
            </w:r>
          </w:p>
          <w:p w:rsidR="0092294B" w:rsidRPr="001C197B" w:rsidRDefault="0092294B" w:rsidP="00DC666B">
            <w:pPr>
              <w:tabs>
                <w:tab w:val="left" w:pos="720"/>
              </w:tabs>
              <w:ind w:left="720" w:hanging="360"/>
              <w:jc w:val="both"/>
              <w:rPr>
                <w:i/>
                <w:szCs w:val="22"/>
                <w:lang w:val="en-GB"/>
              </w:rPr>
            </w:pPr>
          </w:p>
          <w:p w:rsidR="0092294B" w:rsidRPr="001C197B" w:rsidRDefault="0092294B" w:rsidP="00DC666B">
            <w:pPr>
              <w:tabs>
                <w:tab w:val="left" w:pos="567"/>
              </w:tabs>
              <w:jc w:val="both"/>
              <w:rPr>
                <w:i/>
                <w:szCs w:val="22"/>
                <w:lang w:val="en-GB"/>
              </w:rPr>
            </w:pPr>
            <w:r w:rsidRPr="001C197B">
              <w:rPr>
                <w:i/>
                <w:szCs w:val="22"/>
                <w:lang w:val="en-GB"/>
              </w:rPr>
              <w:t>The lawyer shall not disclose confidential information despite his having been released from this duty by the client or all his legal successors, if the lawyer comes to a conclusion that any such release and disclosure would be detrimental to the client and might cause harm to the client.</w:t>
            </w:r>
          </w:p>
          <w:p w:rsidR="0092294B" w:rsidRPr="0092294B" w:rsidRDefault="0092294B" w:rsidP="00DC666B">
            <w:pPr>
              <w:tabs>
                <w:tab w:val="left" w:pos="567"/>
              </w:tabs>
              <w:jc w:val="both"/>
              <w:rPr>
                <w:sz w:val="22"/>
                <w:szCs w:val="22"/>
                <w:lang w:val="en-GB"/>
              </w:rPr>
            </w:pPr>
            <w:r w:rsidRPr="001C197B">
              <w:rPr>
                <w:szCs w:val="22"/>
                <w:lang w:val="en-GB"/>
              </w:rPr>
              <w:t xml:space="preserve"> </w:t>
            </w:r>
          </w:p>
        </w:tc>
      </w:tr>
    </w:tbl>
    <w:p w:rsidR="00706DC1" w:rsidRPr="0092294B" w:rsidRDefault="00706DC1" w:rsidP="00DC666B">
      <w:pPr>
        <w:contextualSpacing/>
        <w:jc w:val="both"/>
        <w:rPr>
          <w:bCs/>
          <w:lang w:val="en-GB"/>
        </w:rPr>
      </w:pPr>
    </w:p>
    <w:p w:rsidR="00B13731" w:rsidRDefault="00DC666B" w:rsidP="00DC666B">
      <w:pPr>
        <w:contextualSpacing/>
        <w:jc w:val="both"/>
        <w:rPr>
          <w:bCs/>
          <w:lang w:val="en-GB"/>
        </w:rPr>
      </w:pPr>
      <w:r>
        <w:rPr>
          <w:bCs/>
          <w:lang w:val="en-GB"/>
        </w:rPr>
        <w:t>Antimonopoly</w:t>
      </w:r>
      <w:r w:rsidR="0092294B">
        <w:rPr>
          <w:bCs/>
          <w:lang w:val="en-GB"/>
        </w:rPr>
        <w:t xml:space="preserve"> office regularly undertakes inspections of the business premises</w:t>
      </w:r>
      <w:r w:rsidR="002600BD">
        <w:rPr>
          <w:bCs/>
          <w:lang w:val="en-GB"/>
        </w:rPr>
        <w:t xml:space="preserve"> of the clients</w:t>
      </w:r>
      <w:r w:rsidR="0092294B">
        <w:rPr>
          <w:bCs/>
          <w:lang w:val="en-GB"/>
        </w:rPr>
        <w:t xml:space="preserve"> in the course of which they </w:t>
      </w:r>
      <w:r w:rsidR="00B13731">
        <w:rPr>
          <w:bCs/>
          <w:lang w:val="en-GB"/>
        </w:rPr>
        <w:t xml:space="preserve">are entitled to access all the information located on the premises. </w:t>
      </w:r>
    </w:p>
    <w:p w:rsidR="00B13731" w:rsidRDefault="00B13731" w:rsidP="00DC666B">
      <w:pPr>
        <w:contextualSpacing/>
        <w:jc w:val="both"/>
        <w:rPr>
          <w:bCs/>
          <w:lang w:val="en-GB"/>
        </w:rPr>
      </w:pPr>
    </w:p>
    <w:p w:rsidR="00B13731" w:rsidRDefault="00D94E83" w:rsidP="00DC666B">
      <w:pPr>
        <w:contextualSpacing/>
        <w:jc w:val="both"/>
        <w:rPr>
          <w:bCs/>
          <w:lang w:val="en-GB"/>
        </w:rPr>
      </w:pPr>
      <w:r>
        <w:rPr>
          <w:bCs/>
          <w:lang w:val="en-GB"/>
        </w:rPr>
        <w:t>The Bar</w:t>
      </w:r>
      <w:r w:rsidR="00B13731">
        <w:rPr>
          <w:bCs/>
          <w:lang w:val="en-GB"/>
        </w:rPr>
        <w:t xml:space="preserve"> receives queries from lawyers who request that Slovak Bar Association issues a statement to support their case as there </w:t>
      </w:r>
      <w:r w:rsidR="00DC666B">
        <w:rPr>
          <w:bCs/>
          <w:lang w:val="en-GB"/>
        </w:rPr>
        <w:t>is</w:t>
      </w:r>
      <w:r w:rsidR="00B13731">
        <w:rPr>
          <w:bCs/>
          <w:lang w:val="en-GB"/>
        </w:rPr>
        <w:t xml:space="preserve"> a conflict and dispute regarding the scope of the principle of confidentiality. Lawyers claim that the communication between the lawyer and the client should be protected in the sense of legal professional privilege. </w:t>
      </w:r>
    </w:p>
    <w:p w:rsidR="0092294B" w:rsidRDefault="0092294B" w:rsidP="00DC666B">
      <w:pPr>
        <w:contextualSpacing/>
        <w:jc w:val="both"/>
        <w:rPr>
          <w:bCs/>
          <w:lang w:val="en-GB"/>
        </w:rPr>
      </w:pPr>
    </w:p>
    <w:p w:rsidR="0092294B" w:rsidRDefault="00D94E83" w:rsidP="00DC666B">
      <w:pPr>
        <w:contextualSpacing/>
        <w:jc w:val="both"/>
        <w:rPr>
          <w:bCs/>
          <w:lang w:val="en-GB"/>
        </w:rPr>
      </w:pPr>
      <w:r>
        <w:rPr>
          <w:bCs/>
          <w:lang w:val="en-GB"/>
        </w:rPr>
        <w:t xml:space="preserve">The </w:t>
      </w:r>
      <w:r w:rsidR="00DC666B">
        <w:rPr>
          <w:bCs/>
          <w:lang w:val="en-GB"/>
        </w:rPr>
        <w:t>Antimonopoly</w:t>
      </w:r>
      <w:r>
        <w:rPr>
          <w:bCs/>
          <w:lang w:val="en-GB"/>
        </w:rPr>
        <w:t xml:space="preserve"> Office </w:t>
      </w:r>
      <w:r w:rsidR="001A79EA">
        <w:rPr>
          <w:bCs/>
          <w:lang w:val="en-GB"/>
        </w:rPr>
        <w:t>upholds the position that “</w:t>
      </w:r>
      <w:r w:rsidR="001A79EA" w:rsidRPr="00DC666B">
        <w:rPr>
          <w:bCs/>
          <w:i/>
          <w:lang w:val="en-GB"/>
        </w:rPr>
        <w:t xml:space="preserve">only the information that relates to the subject matter of inspection and that was intended for the purpose and in the interest of the </w:t>
      </w:r>
      <w:r w:rsidR="001A79EA" w:rsidRPr="00DC666B">
        <w:rPr>
          <w:bCs/>
          <w:i/>
          <w:lang w:val="en-GB"/>
        </w:rPr>
        <w:lastRenderedPageBreak/>
        <w:t>defence of the client in the given matter enjoys the protection due to the principle of confidentiality</w:t>
      </w:r>
      <w:r w:rsidR="001A79EA">
        <w:rPr>
          <w:bCs/>
          <w:lang w:val="en-GB"/>
        </w:rPr>
        <w:t xml:space="preserve">”.  </w:t>
      </w:r>
    </w:p>
    <w:p w:rsidR="006C29BE" w:rsidRDefault="006C29BE" w:rsidP="006C29BE">
      <w:pPr>
        <w:contextualSpacing/>
        <w:jc w:val="both"/>
        <w:rPr>
          <w:bCs/>
          <w:noProof/>
          <w:lang w:eastAsia="sk-SK"/>
        </w:rPr>
      </w:pPr>
    </w:p>
    <w:p w:rsidR="001A79EA" w:rsidRDefault="001A79EA" w:rsidP="006C29BE">
      <w:pPr>
        <w:contextualSpacing/>
        <w:jc w:val="both"/>
        <w:rPr>
          <w:bCs/>
          <w:lang w:val="en-GB"/>
        </w:rPr>
      </w:pPr>
      <w:r>
        <w:rPr>
          <w:bCs/>
          <w:noProof/>
          <w:lang w:eastAsia="sk-SK"/>
        </w:rPr>
        <w:t>Any other communication between the client and the lawyer related to the provision of legal servi</w:t>
      </w:r>
      <w:r w:rsidR="006C29BE">
        <w:rPr>
          <w:bCs/>
          <w:noProof/>
          <w:lang w:eastAsia="sk-SK"/>
        </w:rPr>
        <w:t>c</w:t>
      </w:r>
      <w:r>
        <w:rPr>
          <w:bCs/>
          <w:noProof/>
          <w:lang w:eastAsia="sk-SK"/>
        </w:rPr>
        <w:t>es (</w:t>
      </w:r>
      <w:r w:rsidR="006C29BE">
        <w:rPr>
          <w:bCs/>
          <w:noProof/>
          <w:lang w:eastAsia="sk-SK"/>
        </w:rPr>
        <w:t>such as drafting of con</w:t>
      </w:r>
      <w:r>
        <w:rPr>
          <w:bCs/>
          <w:noProof/>
          <w:lang w:eastAsia="sk-SK"/>
        </w:rPr>
        <w:t>tracts,</w:t>
      </w:r>
      <w:r w:rsidR="006C29BE">
        <w:rPr>
          <w:bCs/>
          <w:noProof/>
          <w:lang w:eastAsia="sk-SK"/>
        </w:rPr>
        <w:t xml:space="preserve"> legal analysis, legal advice in non-contentious matters)</w:t>
      </w:r>
      <w:r>
        <w:rPr>
          <w:bCs/>
          <w:noProof/>
          <w:lang w:eastAsia="sk-SK"/>
        </w:rPr>
        <w:t xml:space="preserve"> is excplicitly excluded from the protection of confidenatiality.</w:t>
      </w:r>
    </w:p>
    <w:p w:rsidR="006C29BE" w:rsidRDefault="006C29BE" w:rsidP="008F51AB">
      <w:pPr>
        <w:contextualSpacing/>
        <w:jc w:val="both"/>
        <w:rPr>
          <w:bCs/>
          <w:lang w:val="en-GB"/>
        </w:rPr>
      </w:pPr>
    </w:p>
    <w:p w:rsidR="006C29BE" w:rsidRDefault="006C29BE" w:rsidP="00DC666B">
      <w:pPr>
        <w:contextualSpacing/>
        <w:jc w:val="both"/>
        <w:rPr>
          <w:bCs/>
          <w:lang w:val="en-GB"/>
        </w:rPr>
      </w:pPr>
      <w:r>
        <w:rPr>
          <w:bCs/>
          <w:lang w:val="en-GB"/>
        </w:rPr>
        <w:t xml:space="preserve">The </w:t>
      </w:r>
      <w:r w:rsidR="00DC666B">
        <w:rPr>
          <w:bCs/>
          <w:lang w:val="en-GB"/>
        </w:rPr>
        <w:t>Antimonopoly</w:t>
      </w:r>
      <w:r>
        <w:rPr>
          <w:bCs/>
          <w:lang w:val="en-GB"/>
        </w:rPr>
        <w:t xml:space="preserve"> Office bases its conclusions on the CJ EU judgements in AM&amp;S, Hilti and Akzo Nobel </w:t>
      </w:r>
      <w:r w:rsidR="008F51AB">
        <w:rPr>
          <w:bCs/>
          <w:lang w:val="en-GB"/>
        </w:rPr>
        <w:t xml:space="preserve">cases and refers to the minimum level of protection and disregards the legal development since as well as the fact that member states enjoy the margin of appreciation and may require/allow stronger protection of confidentiality. </w:t>
      </w:r>
    </w:p>
    <w:p w:rsidR="00DC666B" w:rsidRDefault="00DC666B" w:rsidP="00DC666B">
      <w:pPr>
        <w:contextualSpacing/>
        <w:jc w:val="both"/>
        <w:rPr>
          <w:bCs/>
          <w:lang w:val="en-GB"/>
        </w:rPr>
      </w:pPr>
    </w:p>
    <w:p w:rsidR="0049686F" w:rsidRDefault="00DC666B" w:rsidP="008F51AB">
      <w:pPr>
        <w:contextualSpacing/>
        <w:jc w:val="both"/>
        <w:rPr>
          <w:bCs/>
          <w:lang w:val="en-GB"/>
        </w:rPr>
      </w:pPr>
      <w:r>
        <w:rPr>
          <w:bCs/>
          <w:lang w:val="en-GB"/>
        </w:rPr>
        <w:t>We are of the</w:t>
      </w:r>
      <w:r w:rsidR="008F51AB">
        <w:rPr>
          <w:bCs/>
          <w:lang w:val="en-GB"/>
        </w:rPr>
        <w:t xml:space="preserve"> opinion that Slovak legal order provides for stronger guarantees of the confidentiality principle </w:t>
      </w:r>
      <w:r>
        <w:rPr>
          <w:bCs/>
          <w:lang w:val="en-GB"/>
        </w:rPr>
        <w:t xml:space="preserve">than CJ EU </w:t>
      </w:r>
      <w:r w:rsidR="008F51AB">
        <w:rPr>
          <w:bCs/>
          <w:lang w:val="en-GB"/>
        </w:rPr>
        <w:t xml:space="preserve">and thus should be followed by the </w:t>
      </w:r>
      <w:r>
        <w:rPr>
          <w:bCs/>
          <w:lang w:val="en-GB"/>
        </w:rPr>
        <w:t>Antimonopoly</w:t>
      </w:r>
      <w:r w:rsidR="008F51AB">
        <w:rPr>
          <w:bCs/>
          <w:lang w:val="en-GB"/>
        </w:rPr>
        <w:t xml:space="preserve"> Office</w:t>
      </w:r>
      <w:r>
        <w:rPr>
          <w:bCs/>
          <w:lang w:val="en-GB"/>
        </w:rPr>
        <w:t xml:space="preserve"> at the first place</w:t>
      </w:r>
      <w:r w:rsidR="008F51AB">
        <w:rPr>
          <w:bCs/>
          <w:lang w:val="en-GB"/>
        </w:rPr>
        <w:t xml:space="preserve">. Equally its competence cannot be unlimited. It should not be able to make copies of any information only so far as it is relevant for the subject matter of inspection. </w:t>
      </w:r>
    </w:p>
    <w:p w:rsidR="0049686F" w:rsidRDefault="0049686F" w:rsidP="008F51AB">
      <w:pPr>
        <w:contextualSpacing/>
        <w:jc w:val="both"/>
        <w:rPr>
          <w:bCs/>
          <w:lang w:val="en-GB"/>
        </w:rPr>
      </w:pPr>
    </w:p>
    <w:p w:rsidR="006C29BE" w:rsidRDefault="0049686F" w:rsidP="008F51AB">
      <w:pPr>
        <w:contextualSpacing/>
        <w:jc w:val="both"/>
        <w:rPr>
          <w:bCs/>
          <w:lang w:val="en-GB"/>
        </w:rPr>
      </w:pPr>
      <w:r>
        <w:rPr>
          <w:bCs/>
          <w:lang w:val="en-GB"/>
        </w:rPr>
        <w:t xml:space="preserve">Although the legal regulation of the duty of confidentiality is interpreted as a duty of the lawyer, </w:t>
      </w:r>
      <w:r w:rsidR="00DC666B">
        <w:rPr>
          <w:bCs/>
          <w:lang w:val="en-GB"/>
        </w:rPr>
        <w:t xml:space="preserve">we believe that </w:t>
      </w:r>
      <w:r>
        <w:rPr>
          <w:bCs/>
          <w:lang w:val="en-GB"/>
        </w:rPr>
        <w:t xml:space="preserve">it does cover all information, not only the </w:t>
      </w:r>
      <w:r w:rsidR="00DC666B">
        <w:rPr>
          <w:bCs/>
          <w:lang w:val="en-GB"/>
        </w:rPr>
        <w:t xml:space="preserve">information related to the defence </w:t>
      </w:r>
      <w:r>
        <w:rPr>
          <w:bCs/>
          <w:lang w:val="en-GB"/>
        </w:rPr>
        <w:t>at the court proceeding</w:t>
      </w:r>
      <w:r w:rsidR="00DC666B">
        <w:rPr>
          <w:bCs/>
          <w:lang w:val="en-GB"/>
        </w:rPr>
        <w:t>. Act that regulates the competition</w:t>
      </w:r>
      <w:r>
        <w:rPr>
          <w:bCs/>
          <w:lang w:val="en-GB"/>
        </w:rPr>
        <w:t xml:space="preserve"> does not contain any lex specialis provisions and thus the Act on the legal p</w:t>
      </w:r>
      <w:r w:rsidR="00F24510">
        <w:rPr>
          <w:bCs/>
          <w:lang w:val="en-GB"/>
        </w:rPr>
        <w:t xml:space="preserve">rofession must be respected as lex generalis rule. </w:t>
      </w:r>
    </w:p>
    <w:p w:rsidR="00F24510" w:rsidRDefault="00F24510" w:rsidP="008F51AB">
      <w:pPr>
        <w:contextualSpacing/>
        <w:jc w:val="both"/>
        <w:rPr>
          <w:bCs/>
          <w:lang w:val="en-GB"/>
        </w:rPr>
      </w:pPr>
    </w:p>
    <w:p w:rsidR="00F24510" w:rsidRDefault="00F24510" w:rsidP="008F51AB">
      <w:pPr>
        <w:contextualSpacing/>
        <w:jc w:val="both"/>
        <w:rPr>
          <w:bCs/>
          <w:lang w:val="en-GB"/>
        </w:rPr>
      </w:pPr>
      <w:r>
        <w:rPr>
          <w:bCs/>
          <w:lang w:val="en-GB"/>
        </w:rPr>
        <w:t xml:space="preserve">The problem is that </w:t>
      </w:r>
      <w:r w:rsidR="00DC666B">
        <w:rPr>
          <w:bCs/>
          <w:lang w:val="en-GB"/>
        </w:rPr>
        <w:t>Antimonopoly</w:t>
      </w:r>
      <w:r>
        <w:rPr>
          <w:bCs/>
          <w:lang w:val="en-GB"/>
        </w:rPr>
        <w:t xml:space="preserve"> Office is of the opinion that the rules on the confidentiality do not apply once the inspection is undertaken at the client´s </w:t>
      </w:r>
      <w:r w:rsidR="00DC666B">
        <w:rPr>
          <w:bCs/>
          <w:lang w:val="en-GB"/>
        </w:rPr>
        <w:t xml:space="preserve">premises </w:t>
      </w:r>
      <w:r>
        <w:rPr>
          <w:bCs/>
          <w:lang w:val="en-GB"/>
        </w:rPr>
        <w:t xml:space="preserve">and not lawyer´s premises. Therefore neither the CJ EU standards are respected according to which the documents prepared by the client and intended for the lawyer enjoy the protection. </w:t>
      </w:r>
    </w:p>
    <w:p w:rsidR="00F24510" w:rsidRDefault="00F24510" w:rsidP="008F51AB">
      <w:pPr>
        <w:contextualSpacing/>
        <w:jc w:val="both"/>
        <w:rPr>
          <w:bCs/>
          <w:lang w:val="en-GB"/>
        </w:rPr>
      </w:pPr>
    </w:p>
    <w:p w:rsidR="00F24510" w:rsidRDefault="00F24510" w:rsidP="008F51AB">
      <w:pPr>
        <w:contextualSpacing/>
        <w:jc w:val="both"/>
        <w:rPr>
          <w:bCs/>
          <w:lang w:val="en-GB"/>
        </w:rPr>
      </w:pPr>
      <w:r>
        <w:rPr>
          <w:bCs/>
          <w:lang w:val="en-GB"/>
        </w:rPr>
        <w:t xml:space="preserve">Even the interpretation given by the European Court of Human Rights is wider. ECtHR stated on several occasion that every piece of communication between the lawyer and the client enjoys the protection (….). Any breach must be motivated by proofs that the information is of criminal character and that the privilege is misused. </w:t>
      </w:r>
    </w:p>
    <w:p w:rsidR="00F24510" w:rsidRDefault="00F24510" w:rsidP="006B56C9">
      <w:pPr>
        <w:contextualSpacing/>
        <w:jc w:val="both"/>
        <w:rPr>
          <w:bCs/>
          <w:lang w:val="en-GB"/>
        </w:rPr>
      </w:pPr>
      <w:r>
        <w:rPr>
          <w:bCs/>
          <w:lang w:val="en-GB"/>
        </w:rPr>
        <w:t xml:space="preserve"> </w:t>
      </w:r>
    </w:p>
    <w:p w:rsidR="006D0EFE" w:rsidRDefault="00DC666B" w:rsidP="006B56C9">
      <w:pPr>
        <w:contextualSpacing/>
        <w:jc w:val="both"/>
        <w:rPr>
          <w:bCs/>
          <w:lang w:val="en-GB"/>
        </w:rPr>
      </w:pPr>
      <w:r>
        <w:rPr>
          <w:bCs/>
          <w:lang w:val="en-GB"/>
        </w:rPr>
        <w:t>In 2014 Slovak Bar Association</w:t>
      </w:r>
      <w:r w:rsidR="00BB6356">
        <w:rPr>
          <w:bCs/>
          <w:lang w:val="en-GB"/>
        </w:rPr>
        <w:t xml:space="preserve"> addressed </w:t>
      </w:r>
      <w:r>
        <w:rPr>
          <w:bCs/>
          <w:lang w:val="en-GB"/>
        </w:rPr>
        <w:t>the Antimonopoly Office</w:t>
      </w:r>
      <w:r w:rsidR="00BB6356">
        <w:rPr>
          <w:bCs/>
          <w:lang w:val="en-GB"/>
        </w:rPr>
        <w:t xml:space="preserve"> </w:t>
      </w:r>
      <w:r>
        <w:rPr>
          <w:bCs/>
          <w:lang w:val="en-GB"/>
        </w:rPr>
        <w:t xml:space="preserve">after a series </w:t>
      </w:r>
      <w:r w:rsidR="006B56C9">
        <w:rPr>
          <w:bCs/>
          <w:lang w:val="en-GB"/>
        </w:rPr>
        <w:t>of incidents</w:t>
      </w:r>
      <w:r>
        <w:rPr>
          <w:bCs/>
          <w:lang w:val="en-GB"/>
        </w:rPr>
        <w:t xml:space="preserve"> when the employees of the Office in the course of inspection did not allow the entrepreneur to inform his advocate that the inspection is taking place and even </w:t>
      </w:r>
      <w:r w:rsidR="006B56C9">
        <w:rPr>
          <w:bCs/>
          <w:lang w:val="en-GB"/>
        </w:rPr>
        <w:t xml:space="preserve">threatened </w:t>
      </w:r>
      <w:r>
        <w:rPr>
          <w:bCs/>
          <w:lang w:val="en-GB"/>
        </w:rPr>
        <w:t xml:space="preserve">the entrepreneur by saying that there are </w:t>
      </w:r>
      <w:r w:rsidR="006B56C9">
        <w:rPr>
          <w:bCs/>
          <w:lang w:val="en-GB"/>
        </w:rPr>
        <w:t>large fines. We argued that this approach breaches the constitutional right to legal advice.</w:t>
      </w:r>
      <w:r w:rsidR="00C16732">
        <w:rPr>
          <w:bCs/>
          <w:lang w:val="en-GB"/>
        </w:rPr>
        <w:t xml:space="preserve"> However, similar case are still happening ever since. </w:t>
      </w:r>
    </w:p>
    <w:p w:rsidR="006B56C9" w:rsidRDefault="006B56C9" w:rsidP="006B56C9">
      <w:pPr>
        <w:contextualSpacing/>
        <w:jc w:val="both"/>
        <w:rPr>
          <w:bCs/>
          <w:lang w:val="en-GB"/>
        </w:rPr>
      </w:pPr>
    </w:p>
    <w:p w:rsidR="006B56C9" w:rsidRDefault="006B56C9" w:rsidP="006B56C9">
      <w:pPr>
        <w:contextualSpacing/>
        <w:jc w:val="both"/>
        <w:rPr>
          <w:bCs/>
          <w:lang w:val="en-GB"/>
        </w:rPr>
      </w:pPr>
      <w:r>
        <w:rPr>
          <w:bCs/>
          <w:lang w:val="en-GB"/>
        </w:rPr>
        <w:t xml:space="preserve">I think there is no need to continue on the subject of the confidentiality as you all are very well aware of that. But I would be obliged if you could </w:t>
      </w:r>
      <w:r w:rsidR="00C16732">
        <w:rPr>
          <w:bCs/>
          <w:lang w:val="en-GB"/>
        </w:rPr>
        <w:t>share you</w:t>
      </w:r>
      <w:r>
        <w:rPr>
          <w:bCs/>
          <w:lang w:val="en-GB"/>
        </w:rPr>
        <w:t xml:space="preserve">r experience and practice of the Antimonopoly Office in your respective countries and </w:t>
      </w:r>
      <w:r w:rsidR="00C16732">
        <w:rPr>
          <w:bCs/>
          <w:lang w:val="en-GB"/>
        </w:rPr>
        <w:t>what are the</w:t>
      </w:r>
      <w:r>
        <w:rPr>
          <w:bCs/>
          <w:lang w:val="en-GB"/>
        </w:rPr>
        <w:t xml:space="preserve"> legislative safeguards in this respect. </w:t>
      </w:r>
    </w:p>
    <w:p w:rsidR="006B56C9" w:rsidRDefault="006B56C9" w:rsidP="006B56C9">
      <w:pPr>
        <w:contextualSpacing/>
        <w:jc w:val="both"/>
        <w:rPr>
          <w:bCs/>
          <w:lang w:val="en-GB"/>
        </w:rPr>
      </w:pPr>
    </w:p>
    <w:p w:rsidR="006B56C9" w:rsidRDefault="00C16732" w:rsidP="006B56C9">
      <w:pPr>
        <w:contextualSpacing/>
        <w:jc w:val="both"/>
        <w:rPr>
          <w:bCs/>
          <w:lang w:val="en-GB"/>
        </w:rPr>
      </w:pPr>
      <w:r>
        <w:rPr>
          <w:bCs/>
          <w:lang w:val="en-GB"/>
        </w:rPr>
        <w:t>Thank you very much!</w:t>
      </w:r>
    </w:p>
    <w:p w:rsidR="00C16732" w:rsidRDefault="00C16732" w:rsidP="006B56C9">
      <w:pPr>
        <w:contextualSpacing/>
        <w:jc w:val="both"/>
        <w:rPr>
          <w:bCs/>
          <w:lang w:val="en-GB"/>
        </w:rPr>
      </w:pPr>
    </w:p>
    <w:p w:rsidR="00C16732" w:rsidRDefault="00C16732" w:rsidP="006B56C9">
      <w:pPr>
        <w:contextualSpacing/>
        <w:jc w:val="both"/>
        <w:rPr>
          <w:bCs/>
          <w:lang w:val="en-GB"/>
        </w:rPr>
      </w:pPr>
      <w:r>
        <w:rPr>
          <w:bCs/>
          <w:lang w:val="en-GB"/>
        </w:rPr>
        <w:t>Tomáš Borec</w:t>
      </w:r>
    </w:p>
    <w:p w:rsidR="001476ED" w:rsidRDefault="00C16732" w:rsidP="00C16732">
      <w:pPr>
        <w:contextualSpacing/>
        <w:jc w:val="both"/>
        <w:rPr>
          <w:bCs/>
          <w:i/>
          <w:sz w:val="22"/>
          <w:u w:val="single"/>
        </w:rPr>
      </w:pPr>
      <w:r>
        <w:rPr>
          <w:bCs/>
          <w:lang w:val="en-GB"/>
        </w:rPr>
        <w:t xml:space="preserve">President of the Slovak Bar Association </w:t>
      </w:r>
    </w:p>
    <w:p w:rsidR="001476ED" w:rsidRDefault="001476ED" w:rsidP="001476ED">
      <w:pPr>
        <w:spacing w:line="360" w:lineRule="auto"/>
        <w:ind w:firstLine="567"/>
        <w:jc w:val="both"/>
      </w:pPr>
    </w:p>
    <w:p w:rsidR="0063773E" w:rsidRDefault="00E565BD">
      <w:r>
        <w:t xml:space="preserve"> </w:t>
      </w:r>
    </w:p>
    <w:sectPr w:rsidR="006377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FC5" w:rsidRDefault="00FE6FC5" w:rsidP="006D0EFE">
      <w:r>
        <w:separator/>
      </w:r>
    </w:p>
  </w:endnote>
  <w:endnote w:type="continuationSeparator" w:id="0">
    <w:p w:rsidR="00FE6FC5" w:rsidRDefault="00FE6FC5" w:rsidP="006D0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FC5" w:rsidRDefault="00FE6FC5" w:rsidP="006D0EFE">
      <w:r>
        <w:separator/>
      </w:r>
    </w:p>
  </w:footnote>
  <w:footnote w:type="continuationSeparator" w:id="0">
    <w:p w:rsidR="00FE6FC5" w:rsidRDefault="00FE6FC5" w:rsidP="006D0E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45DE7"/>
    <w:multiLevelType w:val="hybridMultilevel"/>
    <w:tmpl w:val="D05CFA9A"/>
    <w:lvl w:ilvl="0" w:tplc="691CC8AA">
      <w:start w:val="3"/>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6ED"/>
    <w:rsid w:val="001476ED"/>
    <w:rsid w:val="001A79EA"/>
    <w:rsid w:val="001C197B"/>
    <w:rsid w:val="002600BD"/>
    <w:rsid w:val="002C2237"/>
    <w:rsid w:val="00450EBC"/>
    <w:rsid w:val="004907F3"/>
    <w:rsid w:val="00490B98"/>
    <w:rsid w:val="0049686F"/>
    <w:rsid w:val="00497EF7"/>
    <w:rsid w:val="004C25A0"/>
    <w:rsid w:val="0063773E"/>
    <w:rsid w:val="006B56C9"/>
    <w:rsid w:val="006B5852"/>
    <w:rsid w:val="006C29BE"/>
    <w:rsid w:val="006D0EFE"/>
    <w:rsid w:val="00706DC1"/>
    <w:rsid w:val="00720973"/>
    <w:rsid w:val="00884404"/>
    <w:rsid w:val="008F51AB"/>
    <w:rsid w:val="0092294B"/>
    <w:rsid w:val="00B13731"/>
    <w:rsid w:val="00BB6356"/>
    <w:rsid w:val="00BD610A"/>
    <w:rsid w:val="00C16732"/>
    <w:rsid w:val="00D94E83"/>
    <w:rsid w:val="00DC666B"/>
    <w:rsid w:val="00E565BD"/>
    <w:rsid w:val="00F24510"/>
    <w:rsid w:val="00FE6F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DA5BA1-AFDA-458A-AF43-F540603B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76ED"/>
    <w:pPr>
      <w:spacing w:after="0" w:line="240" w:lineRule="auto"/>
    </w:pPr>
    <w:rPr>
      <w:rFonts w:ascii="Times New Roman" w:eastAsia="Calibri"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1476ED"/>
    <w:pPr>
      <w:jc w:val="both"/>
    </w:pPr>
    <w:rPr>
      <w:rFonts w:eastAsia="Times New Roman"/>
      <w:sz w:val="20"/>
      <w:szCs w:val="20"/>
      <w:lang w:val="x-none" w:eastAsia="sk-SK"/>
    </w:rPr>
  </w:style>
  <w:style w:type="character" w:customStyle="1" w:styleId="TekstpodstawowyZnak">
    <w:name w:val="Tekst podstawowy Znak"/>
    <w:basedOn w:val="Domylnaczcionkaakapitu"/>
    <w:link w:val="Tekstpodstawowy"/>
    <w:rsid w:val="001476ED"/>
    <w:rPr>
      <w:rFonts w:ascii="Times New Roman" w:eastAsia="Times New Roman" w:hAnsi="Times New Roman" w:cs="Times New Roman"/>
      <w:sz w:val="20"/>
      <w:szCs w:val="20"/>
      <w:lang w:val="x-none" w:eastAsia="sk-SK"/>
    </w:rPr>
  </w:style>
  <w:style w:type="paragraph" w:styleId="Akapitzlist">
    <w:name w:val="List Paragraph"/>
    <w:aliases w:val="body,Odsek zoznamu2"/>
    <w:basedOn w:val="Normalny"/>
    <w:link w:val="AkapitzlistZnak"/>
    <w:uiPriority w:val="34"/>
    <w:qFormat/>
    <w:rsid w:val="001476ED"/>
    <w:pPr>
      <w:ind w:left="708"/>
    </w:pPr>
    <w:rPr>
      <w:szCs w:val="22"/>
    </w:rPr>
  </w:style>
  <w:style w:type="character" w:customStyle="1" w:styleId="AkapitzlistZnak">
    <w:name w:val="Akapit z listą Znak"/>
    <w:aliases w:val="body Znak,Odsek zoznamu2 Znak"/>
    <w:link w:val="Akapitzlist"/>
    <w:uiPriority w:val="34"/>
    <w:rsid w:val="001476ED"/>
    <w:rPr>
      <w:rFonts w:ascii="Times New Roman" w:eastAsia="Calibri" w:hAnsi="Times New Roman" w:cs="Times New Roman"/>
      <w:sz w:val="24"/>
    </w:rPr>
  </w:style>
  <w:style w:type="paragraph" w:styleId="Tekstdymka">
    <w:name w:val="Balloon Text"/>
    <w:basedOn w:val="Normalny"/>
    <w:link w:val="TekstdymkaZnak"/>
    <w:uiPriority w:val="99"/>
    <w:semiHidden/>
    <w:unhideWhenUsed/>
    <w:rsid w:val="001476ED"/>
    <w:rPr>
      <w:rFonts w:ascii="Tahoma" w:hAnsi="Tahoma" w:cs="Tahoma"/>
      <w:sz w:val="16"/>
      <w:szCs w:val="16"/>
    </w:rPr>
  </w:style>
  <w:style w:type="character" w:customStyle="1" w:styleId="TekstdymkaZnak">
    <w:name w:val="Tekst dymka Znak"/>
    <w:basedOn w:val="Domylnaczcionkaakapitu"/>
    <w:link w:val="Tekstdymka"/>
    <w:uiPriority w:val="99"/>
    <w:semiHidden/>
    <w:rsid w:val="001476ED"/>
    <w:rPr>
      <w:rFonts w:ascii="Tahoma" w:eastAsia="Calibri" w:hAnsi="Tahoma" w:cs="Tahoma"/>
      <w:sz w:val="16"/>
      <w:szCs w:val="16"/>
    </w:rPr>
  </w:style>
  <w:style w:type="paragraph" w:styleId="Tekstprzypisudolnego">
    <w:name w:val="footnote text"/>
    <w:basedOn w:val="Normalny"/>
    <w:link w:val="TekstprzypisudolnegoZnak"/>
    <w:semiHidden/>
    <w:unhideWhenUsed/>
    <w:rsid w:val="006D0EFE"/>
    <w:pPr>
      <w:overflowPunct w:val="0"/>
      <w:autoSpaceDE w:val="0"/>
      <w:autoSpaceDN w:val="0"/>
      <w:adjustRightInd w:val="0"/>
      <w:textAlignment w:val="baseline"/>
    </w:pPr>
    <w:rPr>
      <w:rFonts w:eastAsia="Times New Roman"/>
      <w:sz w:val="20"/>
      <w:szCs w:val="20"/>
      <w:lang w:val="en-US" w:eastAsia="sk-SK"/>
    </w:rPr>
  </w:style>
  <w:style w:type="character" w:customStyle="1" w:styleId="TekstprzypisudolnegoZnak">
    <w:name w:val="Tekst przypisu dolnego Znak"/>
    <w:basedOn w:val="Domylnaczcionkaakapitu"/>
    <w:link w:val="Tekstprzypisudolnego"/>
    <w:semiHidden/>
    <w:rsid w:val="006D0EFE"/>
    <w:rPr>
      <w:rFonts w:ascii="Times New Roman" w:eastAsia="Times New Roman" w:hAnsi="Times New Roman" w:cs="Times New Roman"/>
      <w:sz w:val="20"/>
      <w:szCs w:val="20"/>
      <w:lang w:val="en-US" w:eastAsia="sk-SK"/>
    </w:rPr>
  </w:style>
  <w:style w:type="character" w:styleId="Odwoanieprzypisudolnego">
    <w:name w:val="footnote reference"/>
    <w:basedOn w:val="Domylnaczcionkaakapitu"/>
    <w:semiHidden/>
    <w:unhideWhenUsed/>
    <w:rsid w:val="006D0EFE"/>
    <w:rPr>
      <w:vertAlign w:val="superscript"/>
    </w:rPr>
  </w:style>
  <w:style w:type="paragraph" w:customStyle="1" w:styleId="BodyText21">
    <w:name w:val="Body Text 21"/>
    <w:basedOn w:val="Normalny"/>
    <w:rsid w:val="006D0EFE"/>
    <w:pPr>
      <w:tabs>
        <w:tab w:val="left" w:pos="567"/>
      </w:tabs>
      <w:overflowPunct w:val="0"/>
      <w:autoSpaceDE w:val="0"/>
      <w:autoSpaceDN w:val="0"/>
      <w:adjustRightInd w:val="0"/>
      <w:ind w:left="567" w:hanging="567"/>
      <w:jc w:val="both"/>
      <w:textAlignment w:val="baseline"/>
    </w:pPr>
    <w:rPr>
      <w:rFonts w:ascii="Arial" w:eastAsia="Times New Roman" w:hAnsi="Arial"/>
      <w:color w:val="0000FF"/>
      <w:sz w:val="20"/>
      <w:szCs w:val="20"/>
      <w:lang w:val="en-GB" w:eastAsia="sk-SK"/>
    </w:rPr>
  </w:style>
  <w:style w:type="table" w:styleId="Tabela-Siatka">
    <w:name w:val="Table Grid"/>
    <w:basedOn w:val="Standardowy"/>
    <w:uiPriority w:val="59"/>
    <w:rsid w:val="00922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ocTxt">
    <w:name w:val="AODocTxt"/>
    <w:basedOn w:val="Normalny"/>
    <w:rsid w:val="00D94E83"/>
    <w:pPr>
      <w:spacing w:before="240" w:line="260" w:lineRule="atLeast"/>
      <w:jc w:val="both"/>
    </w:pPr>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83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826</Words>
  <Characters>4961</Characters>
  <Application>Microsoft Office Word</Application>
  <DocSecurity>0</DocSecurity>
  <Lines>41</Lines>
  <Paragraphs>11</Paragraphs>
  <ScaleCrop>false</ScaleCrop>
  <HeadingPairs>
    <vt:vector size="4" baseType="variant">
      <vt:variant>
        <vt:lpstr>Tytuł</vt:lpstr>
      </vt:variant>
      <vt:variant>
        <vt:i4>1</vt:i4>
      </vt:variant>
      <vt:variant>
        <vt:lpstr>Názov</vt:lpstr>
      </vt:variant>
      <vt:variant>
        <vt:i4>1</vt:i4>
      </vt:variant>
    </vt:vector>
  </HeadingPairs>
  <TitlesOfParts>
    <vt:vector size="2" baseType="lpstr">
      <vt:lpstr/>
      <vt:lpstr/>
    </vt:vector>
  </TitlesOfParts>
  <Company>Hewlett-Packard Company</Company>
  <LinksUpToDate>false</LinksUpToDate>
  <CharactersWithSpaces>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Chladekova</dc:creator>
  <cp:lastModifiedBy>Anna Paciorek</cp:lastModifiedBy>
  <cp:revision>2</cp:revision>
  <dcterms:created xsi:type="dcterms:W3CDTF">2018-11-30T11:41:00Z</dcterms:created>
  <dcterms:modified xsi:type="dcterms:W3CDTF">2018-11-30T11:41:00Z</dcterms:modified>
</cp:coreProperties>
</file>