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5103" w:rsidTr="00215103">
        <w:trPr>
          <w:jc w:val="center"/>
        </w:trPr>
        <w:tc>
          <w:tcPr>
            <w:tcW w:w="5000" w:type="pct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2"/>
            </w:tblGrid>
            <w:tr w:rsidR="0021510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15103" w:rsidRDefault="00215103">
                  <w:pPr>
                    <w:jc w:val="center"/>
                    <w:rPr>
                      <w:rFonts w:ascii="Arial" w:hAnsi="Arial" w:cs="Arial"/>
                      <w:color w:val="333333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36"/>
                      <w:szCs w:val="36"/>
                    </w:rPr>
                    <w:t>Saudi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33333"/>
                      <w:sz w:val="36"/>
                      <w:szCs w:val="36"/>
                    </w:rPr>
                    <w:t xml:space="preserve"> Arabia: IBAHRI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36"/>
                      <w:szCs w:val="36"/>
                    </w:rPr>
                    <w:t>condemns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33333"/>
                      <w:sz w:val="36"/>
                      <w:szCs w:val="36"/>
                    </w:rPr>
                    <w:t xml:space="preserve"> non-transparent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36"/>
                      <w:szCs w:val="36"/>
                    </w:rPr>
                    <w:t>trial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33333"/>
                      <w:sz w:val="36"/>
                      <w:szCs w:val="36"/>
                    </w:rPr>
                    <w:t xml:space="preserve"> of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36"/>
                      <w:szCs w:val="36"/>
                    </w:rPr>
                    <w:t>Jamal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33333"/>
                      <w:sz w:val="36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36"/>
                      <w:szCs w:val="36"/>
                    </w:rPr>
                    <w:t>Khashoggi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33333"/>
                      <w:sz w:val="36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36"/>
                      <w:szCs w:val="36"/>
                    </w:rPr>
                    <w:t>killers</w:t>
                  </w:r>
                  <w:proofErr w:type="spellEnd"/>
                </w:p>
              </w:tc>
            </w:tr>
          </w:tbl>
          <w:p w:rsidR="00215103" w:rsidRDefault="00215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03" w:rsidTr="0021510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47"/>
              <w:gridCol w:w="3025"/>
            </w:tblGrid>
            <w:tr w:rsidR="00215103">
              <w:trPr>
                <w:jc w:val="center"/>
              </w:trPr>
              <w:tc>
                <w:tcPr>
                  <w:tcW w:w="33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47"/>
                  </w:tblGrid>
                  <w:tr w:rsidR="00215103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47"/>
                        </w:tblGrid>
                        <w:tr w:rsidR="00215103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15103" w:rsidRDefault="0021510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15103" w:rsidRDefault="0021510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15103" w:rsidRDefault="0021510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5"/>
                  </w:tblGrid>
                  <w:tr w:rsidR="00215103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25"/>
                        </w:tblGrid>
                        <w:tr w:rsidR="00215103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15103" w:rsidRDefault="0021510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15103" w:rsidRDefault="0021510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15103" w:rsidRDefault="0021510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15103" w:rsidRDefault="00215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03" w:rsidTr="0021510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15103">
              <w:tc>
                <w:tcPr>
                  <w:tcW w:w="5000" w:type="pct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2"/>
                  </w:tblGrid>
                  <w:tr w:rsidR="00215103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5103" w:rsidRDefault="00215103">
                        <w:pPr>
                          <w:spacing w:line="360" w:lineRule="auto"/>
                          <w:jc w:val="both"/>
                          <w:rPr>
                            <w:rFonts w:ascii="Arial" w:hAnsi="Arial" w:cs="Arial"/>
                            <w:color w:val="333333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The </w:t>
                        </w:r>
                        <w:hyperlink r:id="rId5" w:tooltip="International Bar Association’s Human Rights Institute " w:history="1"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 xml:space="preserve">International Bar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>Association’s</w:t>
                          </w:r>
                          <w:proofErr w:type="spellEnd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 xml:space="preserve"> Human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>Rights</w:t>
                          </w:r>
                          <w:proofErr w:type="spellEnd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>Institute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color w:val="00287A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(IBAHRI)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condemns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secret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trial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that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led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to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final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verdict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against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unnamed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defendants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who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killed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prominent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dissident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Saudi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journalist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Jamal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Khashoggi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pictured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Saudi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Arabian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Consulate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in Istanbul, Turkey, on 2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October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2018.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Following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the extra-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judicial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murder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, a team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experts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led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by the </w:t>
                        </w:r>
                        <w:hyperlink r:id="rId6" w:tooltip="United Nations-appointed Special Rapporteur on extrajudicial, summary or arbitrary executions" w:history="1"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>United Nations-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>appointed</w:t>
                          </w:r>
                          <w:proofErr w:type="spellEnd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 xml:space="preserve"> Special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>Rapporteur</w:t>
                          </w:r>
                          <w:proofErr w:type="spellEnd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 xml:space="preserve"> on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>extrajudicial</w:t>
                          </w:r>
                          <w:proofErr w:type="spellEnd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>summary</w:t>
                          </w:r>
                          <w:proofErr w:type="spellEnd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>or</w:t>
                          </w:r>
                          <w:proofErr w:type="spellEnd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>arbitrary</w:t>
                          </w:r>
                          <w:proofErr w:type="spellEnd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>executions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Dr Agnes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Callamard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visited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Turkey and was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given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direct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access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to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evidence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obtained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by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Turkish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authorities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including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secret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tape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recordings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that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exposed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planning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execution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. The team was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allowed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listen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to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tapes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but was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denied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access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to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Saudi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Arabian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Consulate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in Istanbul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where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murder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took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place. Dr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Callamard's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subsequent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report for the </w:t>
                        </w:r>
                        <w:hyperlink r:id="rId7" w:tooltip="UN Human Rights Council" w:history="1"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 xml:space="preserve">UN Human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>Rights</w:t>
                          </w:r>
                          <w:proofErr w:type="spellEnd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>Council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reached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decisive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conclusion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: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‘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There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is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no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indication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under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international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law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that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crime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could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be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qualified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under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any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other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way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but as a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state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killing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.’ </w:t>
                        </w:r>
                      </w:p>
                    </w:tc>
                  </w:tr>
                </w:tbl>
                <w:p w:rsidR="00215103" w:rsidRDefault="00215103">
                  <w:pPr>
                    <w:jc w:val="center"/>
                    <w:rPr>
                      <w:rFonts w:ascii="Arial" w:hAnsi="Arial" w:cs="Arial"/>
                      <w:color w:val="333333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2"/>
                  </w:tblGrid>
                  <w:tr w:rsidR="00215103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72"/>
                        </w:tblGrid>
                        <w:tr w:rsidR="00215103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15103" w:rsidRDefault="00215103">
                              <w:pPr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333333"/>
                                </w:rPr>
                                <w:drawing>
                                  <wp:inline distT="0" distB="0" distL="0" distR="0">
                                    <wp:extent cx="5524500" cy="1857375"/>
                                    <wp:effectExtent l="0" t="0" r="0" b="9525"/>
                                    <wp:docPr id="1" name="Obraz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24500" cy="1857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15103" w:rsidRDefault="0021510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15103" w:rsidRDefault="00215103">
                  <w:pPr>
                    <w:jc w:val="center"/>
                    <w:rPr>
                      <w:rFonts w:ascii="Arial" w:hAnsi="Arial" w:cs="Arial"/>
                      <w:vanish/>
                      <w:color w:val="333333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2"/>
                  </w:tblGrid>
                  <w:tr w:rsidR="00215103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5103" w:rsidRDefault="00215103">
                        <w:pPr>
                          <w:spacing w:line="360" w:lineRule="auto"/>
                          <w:jc w:val="both"/>
                          <w:rPr>
                            <w:rFonts w:ascii="Arial" w:hAnsi="Arial" w:cs="Arial"/>
                            <w:color w:val="333333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BAHRI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Director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Baroness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 Helena Kennedy QC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, 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member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 of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expert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 team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that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accompanied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 Dr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Callamard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commented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: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‘The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evidence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accessed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by the UN team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exposed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full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brutality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Mr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Khashoggi’s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murder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dismemberment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was a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planned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killing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executed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by a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highly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trained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team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acting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under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command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of senior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figures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in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Saudi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Government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.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secret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trial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which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took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place in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Saudi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Arabia in no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way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conformed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to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standards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due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process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and was a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cover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for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those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who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bore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the real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culpability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for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egregious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assassination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. It was a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punishment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killing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of a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journalist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who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dared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speak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critically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of the Crown Prince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Saudi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Arabia and expose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his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human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rights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abuses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Having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secured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purchase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of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forgiveness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Mr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Khashoggi’s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son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,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announcement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greatly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reduced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sentences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for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convicted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is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final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act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contempt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for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justice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by the Crown Prince,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who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has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no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respect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for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rule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of law.’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br/>
                          <w:t xml:space="preserve">On 7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September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2020,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Riyadh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Criminal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Court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overturned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five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death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sentences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those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lastRenderedPageBreak/>
                          <w:t>convicted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of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murder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Mr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Khashoggi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, in 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ruling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that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sentenced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total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eight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unidentified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defendants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between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seven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and 20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years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imprisonment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.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Prosecutor’s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Office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stated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that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announcement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of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sentences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‘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closes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case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forever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. As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advocate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of the </w:t>
                        </w:r>
                        <w:hyperlink r:id="rId9" w:tooltip="total abolition of the death penalty" w:history="1">
                          <w:proofErr w:type="spellStart"/>
                          <w:r>
                            <w:rPr>
                              <w:rStyle w:val="Hipercze"/>
                              <w:rFonts w:ascii="Arial" w:hAnsi="Arial" w:cs="Arial"/>
                              <w:color w:val="00287A"/>
                              <w:sz w:val="20"/>
                              <w:szCs w:val="20"/>
                              <w:u w:val="none"/>
                            </w:rPr>
                            <w:t>total</w:t>
                          </w:r>
                          <w:proofErr w:type="spellEnd"/>
                          <w:r>
                            <w:rPr>
                              <w:rStyle w:val="Hipercze"/>
                              <w:rFonts w:ascii="Arial" w:hAnsi="Arial" w:cs="Arial"/>
                              <w:color w:val="00287A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hAnsi="Arial" w:cs="Arial"/>
                              <w:color w:val="00287A"/>
                              <w:sz w:val="20"/>
                              <w:szCs w:val="20"/>
                              <w:u w:val="none"/>
                            </w:rPr>
                            <w:t>abolition</w:t>
                          </w:r>
                          <w:proofErr w:type="spellEnd"/>
                          <w:r>
                            <w:rPr>
                              <w:rStyle w:val="Hipercze"/>
                              <w:rFonts w:ascii="Arial" w:hAnsi="Arial" w:cs="Arial"/>
                              <w:color w:val="00287A"/>
                              <w:sz w:val="20"/>
                              <w:szCs w:val="20"/>
                              <w:u w:val="none"/>
                            </w:rPr>
                            <w:t xml:space="preserve"> of the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hAnsi="Arial" w:cs="Arial"/>
                              <w:color w:val="00287A"/>
                              <w:sz w:val="20"/>
                              <w:szCs w:val="20"/>
                              <w:u w:val="none"/>
                            </w:rPr>
                            <w:t>death</w:t>
                          </w:r>
                          <w:proofErr w:type="spellEnd"/>
                          <w:r>
                            <w:rPr>
                              <w:rStyle w:val="Hipercze"/>
                              <w:rFonts w:ascii="Arial" w:hAnsi="Arial" w:cs="Arial"/>
                              <w:color w:val="00287A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hAnsi="Arial" w:cs="Arial"/>
                              <w:color w:val="00287A"/>
                              <w:sz w:val="20"/>
                              <w:szCs w:val="20"/>
                              <w:u w:val="none"/>
                            </w:rPr>
                            <w:t>penalty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, the IBAHRI notes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commuting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of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death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penalties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for five of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condemned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br/>
                          <w:t xml:space="preserve">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Saudi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authorities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continued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deny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any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knowledge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Mr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Khashoggi’s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fate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for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more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than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two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weeks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after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his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murder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Reports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state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that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first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they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refused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admit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murder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had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taken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place,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then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changed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their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account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initially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saying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there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had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been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fight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in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consulate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then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claiming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it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was ‘a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rogue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operation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’.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Turkish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investigators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were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not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permitted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consulate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for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two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weeks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Reports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reveal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Saudis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only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allowed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investigators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entry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after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a team of 15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Saudi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agents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undertook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professional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clean-up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operation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that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destroyed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evidence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. Dr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Callamard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commented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‘by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time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they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were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able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collect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some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evidence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there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was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nothing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there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, not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even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DNA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evidence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Mr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Khashoggi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having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been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there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.’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IBAHRI Co-Chair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former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Justice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 of the High Court of Australia (1996 – 2006),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Hon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 Michael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Kirby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 AC CMG,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commented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  <w:sz w:val="20"/>
                            <w:szCs w:val="20"/>
                          </w:rPr>
                          <w:t>: 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333333"/>
                          </w:rPr>
                          <w:t xml:space="preserve">‘The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killing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Mr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Khashoggi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shameful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disrespect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for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municipal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law of Turkey,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international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law and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norms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civilized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states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in a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consular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mission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Saudi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Arabia was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an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audacious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heinous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assassination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. The team of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experts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with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access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some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of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evidence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found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that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this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was a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premeditated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extra-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judicial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killing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perpetuated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by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Saudi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officials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.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trial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and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final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verdict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make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mockery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justice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Those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who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ordered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killing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have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sent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an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unambiguous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chilling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message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others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entertaining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thoughts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dissent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that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“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you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can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be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easily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eliminated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without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trace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.”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absence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of a fair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trial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demonstrates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that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Saudi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authorities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are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no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respecters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due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process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and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rule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of law.’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color w:val="333333"/>
                          </w:rPr>
                          <w:t xml:space="preserve">The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entire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trial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proceedings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that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led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to the 7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September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verdict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took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place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behind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closed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doors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with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journalists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members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of the public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barred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from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attending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Requests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from the </w:t>
                        </w:r>
                        <w:hyperlink r:id="rId10" w:tooltip="International Bar Association" w:history="1">
                          <w:r>
                            <w:rPr>
                              <w:rStyle w:val="Hipercze"/>
                              <w:b/>
                              <w:bCs/>
                              <w:color w:val="00287A"/>
                              <w:u w:val="none"/>
                            </w:rPr>
                            <w:t xml:space="preserve">International Bar </w:t>
                          </w:r>
                          <w:proofErr w:type="spellStart"/>
                          <w:r>
                            <w:rPr>
                              <w:rStyle w:val="Hipercze"/>
                              <w:b/>
                              <w:bCs/>
                              <w:color w:val="00287A"/>
                              <w:u w:val="none"/>
                            </w:rPr>
                            <w:t>Association</w:t>
                          </w:r>
                          <w:proofErr w:type="spellEnd"/>
                        </w:hyperlink>
                        <w:r>
                          <w:rPr>
                            <w:b/>
                            <w:bCs/>
                            <w:color w:val="333333"/>
                          </w:rPr>
                          <w:t xml:space="preserve"> </w:t>
                        </w:r>
                        <w:r>
                          <w:rPr>
                            <w:color w:val="333333"/>
                          </w:rPr>
                          <w:t xml:space="preserve">and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other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international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organisations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to monitor the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proceedings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were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ignored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Identities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of the 11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defendants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have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not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been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disclosed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, casting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serious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doubt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on the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motives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behind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trial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. In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reaction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to the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verdict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, Dr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Callamard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criticised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trial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for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being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‘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neither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fair, nor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just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or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transparent,’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therefore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carrying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‘no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legal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or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moral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legitimacy</w:t>
                        </w:r>
                        <w:proofErr w:type="spellEnd"/>
                        <w:r>
                          <w:rPr>
                            <w:color w:val="333333"/>
                          </w:rPr>
                          <w:t>’.</w:t>
                        </w:r>
                        <w:r>
                          <w:rPr>
                            <w:color w:val="333333"/>
                          </w:rPr>
                          <w:br/>
                        </w:r>
                        <w:r>
                          <w:rPr>
                            <w:color w:val="333333"/>
                          </w:rPr>
                          <w:br/>
                        </w:r>
                        <w:r>
                          <w:rPr>
                            <w:b/>
                            <w:bCs/>
                            <w:color w:val="333333"/>
                          </w:rPr>
                          <w:t xml:space="preserve">IBAHRI Co-Chair, </w:t>
                        </w:r>
                        <w:r>
                          <w:rPr>
                            <w:color w:val="333333"/>
                          </w:rPr>
                          <w:t xml:space="preserve">and </w:t>
                        </w:r>
                        <w:r>
                          <w:rPr>
                            <w:b/>
                            <w:bCs/>
                            <w:color w:val="333333"/>
                          </w:rPr>
                          <w:t xml:space="preserve">immediate past </w:t>
                        </w:r>
                        <w:proofErr w:type="spellStart"/>
                        <w:r>
                          <w:rPr>
                            <w:b/>
                            <w:bCs/>
                            <w:color w:val="333333"/>
                          </w:rPr>
                          <w:t>Secretary</w:t>
                        </w:r>
                        <w:proofErr w:type="spellEnd"/>
                        <w:r>
                          <w:rPr>
                            <w:b/>
                            <w:bCs/>
                            <w:color w:val="333333"/>
                          </w:rPr>
                          <w:t xml:space="preserve">-General of the </w:t>
                        </w:r>
                        <w:proofErr w:type="spellStart"/>
                        <w:r>
                          <w:rPr>
                            <w:b/>
                            <w:bCs/>
                            <w:color w:val="333333"/>
                          </w:rPr>
                          <w:t>Swedish</w:t>
                        </w:r>
                        <w:proofErr w:type="spellEnd"/>
                        <w:r>
                          <w:rPr>
                            <w:b/>
                            <w:bCs/>
                            <w:color w:val="333333"/>
                          </w:rPr>
                          <w:t xml:space="preserve"> Bar </w:t>
                        </w:r>
                        <w:proofErr w:type="spellStart"/>
                        <w:r>
                          <w:rPr>
                            <w:b/>
                            <w:bCs/>
                            <w:color w:val="333333"/>
                          </w:rPr>
                          <w:t>Association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bCs/>
                            <w:color w:val="333333"/>
                          </w:rPr>
                          <w:t>Anne</w:t>
                        </w:r>
                        <w:proofErr w:type="spellEnd"/>
                        <w:r>
                          <w:rPr>
                            <w:b/>
                            <w:b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333333"/>
                          </w:rPr>
                          <w:t>Ramberg</w:t>
                        </w:r>
                        <w:proofErr w:type="spellEnd"/>
                        <w:r>
                          <w:rPr>
                            <w:b/>
                            <w:bCs/>
                            <w:color w:val="333333"/>
                          </w:rPr>
                          <w:t xml:space="preserve"> Dr jur </w:t>
                        </w:r>
                        <w:proofErr w:type="spellStart"/>
                        <w:r>
                          <w:rPr>
                            <w:b/>
                            <w:bCs/>
                            <w:color w:val="333333"/>
                          </w:rPr>
                          <w:t>hc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stated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: ‘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Justice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has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not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been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served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for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Mr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Khashoggi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Nobody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suspected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ordering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killing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has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been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tried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, much less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convicted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. It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is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an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outrage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that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Mr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Khashoggi’s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body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has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not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been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produced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, and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likely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disposed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of in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barbaric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manner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reported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.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pre-</w:t>
                        </w:r>
                        <w:r>
                          <w:rPr>
                            <w:i/>
                            <w:iCs/>
                            <w:color w:val="333333"/>
                          </w:rPr>
                          <w:lastRenderedPageBreak/>
                          <w:t>meditated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murder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Mr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Khashoggi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is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serious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international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crime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with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concrete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evidence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against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senior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officials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of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Saudi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government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.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international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community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must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send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clear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message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to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Saudi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government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that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silencing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Mr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Khashoggi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will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not be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tolerated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that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this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case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is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far from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being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resolved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Democratic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states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should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voice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their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concerns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invoke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universal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jurisdiction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prosecute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i/>
                            <w:iCs/>
                            <w:color w:val="333333"/>
                          </w:rPr>
                          <w:t>perpetrators</w:t>
                        </w:r>
                        <w:proofErr w:type="spellEnd"/>
                        <w:r>
                          <w:rPr>
                            <w:i/>
                            <w:iCs/>
                            <w:color w:val="333333"/>
                          </w:rPr>
                          <w:t>.’</w:t>
                        </w:r>
                        <w:r>
                          <w:rPr>
                            <w:color w:val="333333"/>
                          </w:rPr>
                          <w:br/>
                        </w:r>
                        <w:r>
                          <w:rPr>
                            <w:color w:val="333333"/>
                          </w:rPr>
                          <w:br/>
                          <w:t xml:space="preserve">In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July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2020, Turkey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opened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its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own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trial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proceedings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into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death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of the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Mr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Khashoggi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accusing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20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Saudi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citizens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absentia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. The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trial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is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ongoing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and the IBAHRI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will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continue</w:t>
                        </w:r>
                        <w:proofErr w:type="spellEnd"/>
                        <w:r>
                          <w:rPr>
                            <w:color w:val="333333"/>
                          </w:rPr>
                          <w:t xml:space="preserve"> to monitor </w:t>
                        </w:r>
                        <w:proofErr w:type="spellStart"/>
                        <w:r>
                          <w:rPr>
                            <w:color w:val="333333"/>
                          </w:rPr>
                          <w:t>developments</w:t>
                        </w:r>
                        <w:proofErr w:type="spellEnd"/>
                        <w:r>
                          <w:rPr>
                            <w:color w:val="333333"/>
                          </w:rPr>
                          <w:t>. </w:t>
                        </w:r>
                      </w:p>
                    </w:tc>
                  </w:tr>
                </w:tbl>
                <w:p w:rsidR="00215103" w:rsidRDefault="00215103">
                  <w:pPr>
                    <w:jc w:val="center"/>
                  </w:pPr>
                </w:p>
              </w:tc>
            </w:tr>
          </w:tbl>
          <w:p w:rsidR="00215103" w:rsidRDefault="002151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03" w:rsidTr="0021510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15103">
              <w:tc>
                <w:tcPr>
                  <w:tcW w:w="5000" w:type="pct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p w:rsidR="00215103" w:rsidRDefault="00215103">
                  <w:pPr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lastRenderedPageBreak/>
                    <w:t>ENDS</w:t>
                  </w:r>
                </w:p>
              </w:tc>
            </w:tr>
          </w:tbl>
          <w:p w:rsidR="00215103" w:rsidRDefault="002151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03" w:rsidTr="0021510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15103">
              <w:tc>
                <w:tcPr>
                  <w:tcW w:w="5000" w:type="pct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2"/>
                  </w:tblGrid>
                  <w:tr w:rsidR="00215103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5103" w:rsidRDefault="00215103">
                        <w:pPr>
                          <w:rPr>
                            <w:rFonts w:ascii="Arial" w:hAnsi="Arial" w:cs="Arial"/>
                            <w:color w:val="33333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Notes to the Editor</w:t>
                        </w:r>
                      </w:p>
                      <w:p w:rsidR="00215103" w:rsidRDefault="00215103" w:rsidP="002E50A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333333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View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related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IBAHRI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items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Saudi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Arabia:</w:t>
                        </w:r>
                        <w:r>
                          <w:rPr>
                            <w:rFonts w:ascii="Arial" w:eastAsia="Times New Roman" w:hAnsi="Arial" w:cs="Arial"/>
                            <w:color w:val="333333"/>
                          </w:rPr>
                          <w:br/>
                        </w:r>
                        <w:hyperlink r:id="rId11" w:tooltip="www.ibanet.org/Human_Rights_Institute/Work_by_regions/Middle_East/Saudi-Arabia.aspx" w:history="1">
                          <w:r>
                            <w:rPr>
                              <w:rStyle w:val="Hipercze"/>
                              <w:rFonts w:eastAsia="Times New Roman"/>
                              <w:color w:val="00287A"/>
                              <w:u w:val="none"/>
                            </w:rPr>
                            <w:t>www.ibanet.org/Human_Rights_Institute/Work_by_regions/Middle_East/Saudi-Arabia.aspx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215103" w:rsidRDefault="00215103" w:rsidP="002E50A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33333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The </w:t>
                        </w:r>
                        <w:hyperlink r:id="rId12" w:tooltip="International Bar Association’s Human Rights Institute" w:history="1">
                          <w:r>
                            <w:rPr>
                              <w:rStyle w:val="Hipercze"/>
                              <w:rFonts w:ascii="Arial" w:eastAsia="Times New Roman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</w:rPr>
                            <w:t xml:space="preserve">International Bar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eastAsia="Times New Roman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</w:rPr>
                            <w:t>Association’s</w:t>
                          </w:r>
                          <w:proofErr w:type="spellEnd"/>
                          <w:r>
                            <w:rPr>
                              <w:rStyle w:val="Hipercze"/>
                              <w:rFonts w:ascii="Arial" w:eastAsia="Times New Roman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</w:rPr>
                            <w:t xml:space="preserve"> Human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eastAsia="Times New Roman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</w:rPr>
                            <w:t>Rights</w:t>
                          </w:r>
                          <w:proofErr w:type="spellEnd"/>
                          <w:r>
                            <w:rPr>
                              <w:rStyle w:val="Hipercze"/>
                              <w:rFonts w:ascii="Arial" w:eastAsia="Times New Roman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eastAsia="Times New Roman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(IBAHRI),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autonomous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financially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independent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entity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works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promote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protect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enforce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human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rights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under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just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rule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of law, and to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preserve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independence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of the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judiciary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and the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legal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profession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worldwide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br/>
                          <w:t> </w:t>
                        </w:r>
                      </w:p>
                      <w:p w:rsidR="00215103" w:rsidRDefault="00215103" w:rsidP="002E50A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33333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The </w:t>
                        </w:r>
                        <w:hyperlink r:id="rId13" w:tooltip="International Bar Association" w:history="1">
                          <w:r>
                            <w:rPr>
                              <w:rStyle w:val="Hipercze"/>
                              <w:rFonts w:ascii="Arial" w:eastAsia="Times New Roman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 xml:space="preserve">International Bar </w:t>
                          </w:r>
                          <w:proofErr w:type="spellStart"/>
                          <w:r>
                            <w:rPr>
                              <w:rStyle w:val="Hipercze"/>
                              <w:rFonts w:ascii="Arial" w:eastAsia="Times New Roman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>Association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(IBA), 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the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global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voice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of the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legal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  <w:t>profession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is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foremost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organisation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for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international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legal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practitioners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, bar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associations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and law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societies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Established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in 1947,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shortly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after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creation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of the </w:t>
                        </w:r>
                        <w:hyperlink r:id="rId14" w:tooltip="United Nations" w:history="1">
                          <w:r>
                            <w:rPr>
                              <w:rStyle w:val="Hipercze"/>
                              <w:rFonts w:ascii="Arial" w:eastAsia="Times New Roman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>United Nations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it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was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born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out of the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conviction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that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organisation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made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up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of the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world's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bar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associations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could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contribute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global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stability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peace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through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administration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justice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br/>
                          <w:t> </w:t>
                        </w:r>
                      </w:p>
                      <w:p w:rsidR="00215103" w:rsidRDefault="00215103" w:rsidP="002E50A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333333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Follow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 the IBAHRI on Twitter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here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 xml:space="preserve">: </w:t>
                        </w:r>
                        <w:hyperlink r:id="rId15" w:tooltip="twitter.com/IBAHRI" w:history="1">
                          <w:r>
                            <w:rPr>
                              <w:rStyle w:val="Hipercze"/>
                              <w:rFonts w:ascii="Arial" w:eastAsia="Times New Roman" w:hAnsi="Arial" w:cs="Arial"/>
                              <w:b/>
                              <w:bCs/>
                              <w:color w:val="00287A"/>
                              <w:sz w:val="20"/>
                              <w:szCs w:val="20"/>
                              <w:u w:val="none"/>
                            </w:rPr>
                            <w:t>twitter.com/IBAHRI</w:t>
                          </w:r>
                        </w:hyperlink>
                      </w:p>
                    </w:tc>
                  </w:tr>
                </w:tbl>
                <w:p w:rsidR="00215103" w:rsidRDefault="0021510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15103" w:rsidRDefault="002151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03" w:rsidTr="0021510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15103">
              <w:tc>
                <w:tcPr>
                  <w:tcW w:w="5000" w:type="pct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p w:rsidR="00215103" w:rsidRDefault="00215103">
                  <w:pPr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 xml:space="preserve">For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further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information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please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contact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</w:p>
              </w:tc>
            </w:tr>
          </w:tbl>
          <w:p w:rsidR="00215103" w:rsidRDefault="002151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103" w:rsidTr="00215103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215103">
              <w:trPr>
                <w:jc w:val="center"/>
              </w:trPr>
              <w:tc>
                <w:tcPr>
                  <w:tcW w:w="25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36"/>
                  </w:tblGrid>
                  <w:tr w:rsidR="00215103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36"/>
                        </w:tblGrid>
                        <w:tr w:rsidR="00215103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6"/>
                              </w:tblGrid>
                              <w:tr w:rsidR="0021510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15103" w:rsidRDefault="00215103">
                                    <w:pPr>
                                      <w:rPr>
                                        <w:rFonts w:ascii="Arial" w:hAnsi="Arial" w:cs="Arial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0"/>
                                        <w:szCs w:val="20"/>
                                      </w:rPr>
                                      <w:t xml:space="preserve">Romana St.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0"/>
                                        <w:szCs w:val="20"/>
                                      </w:rPr>
                                      <w:t>Matthew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0"/>
                                        <w:szCs w:val="20"/>
                                      </w:rPr>
                                      <w:t xml:space="preserve"> - Daniel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0"/>
                                        <w:szCs w:val="20"/>
                                      </w:rPr>
                                      <w:t xml:space="preserve">Press Office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0"/>
                                        <w:szCs w:val="20"/>
                                      </w:rPr>
                                      <w:t xml:space="preserve">International Bar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0"/>
                                        <w:szCs w:val="20"/>
                                      </w:rPr>
                                      <w:t>Association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br/>
                                      <w:t xml:space="preserve">4th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Floor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 xml:space="preserve">, 10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St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Bride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Street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br/>
                                      <w:t>London EC4A 4AD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Mobile: +44 (0)7940 731 915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br/>
                                      <w:t>Direct Line: +44 (0)20 7842 0094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Main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 xml:space="preserve"> Office: +44 (0)20 7842 0090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br/>
                                      <w:t>Fax: +44 (0)20 7842 0091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 xml:space="preserve">Email: </w:t>
                                    </w:r>
                                    <w:hyperlink r:id="rId16" w:history="1">
                                      <w:r>
                                        <w:rPr>
                                          <w:rStyle w:val="Hipercze"/>
                                          <w:rFonts w:ascii="Arial" w:hAnsi="Arial" w:cs="Arial"/>
                                          <w:b/>
                                          <w:bCs/>
                                          <w:color w:val="00287A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romana.daniel@int-bar.org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Website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 xml:space="preserve">: </w:t>
                                    </w:r>
                                    <w:hyperlink r:id="rId17" w:history="1">
                                      <w:r>
                                        <w:rPr>
                                          <w:rStyle w:val="Hipercze"/>
                                          <w:rFonts w:ascii="Arial" w:hAnsi="Arial" w:cs="Arial"/>
                                          <w:b/>
                                          <w:bCs/>
                                          <w:color w:val="00287A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www.ibanet.org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215103" w:rsidRDefault="00215103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15103" w:rsidRDefault="0021510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15103" w:rsidRDefault="0021510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36"/>
                  </w:tblGrid>
                  <w:tr w:rsidR="00215103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36"/>
                        </w:tblGrid>
                        <w:tr w:rsidR="00215103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15103" w:rsidRDefault="0021510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15103" w:rsidRDefault="0021510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15103" w:rsidRDefault="0021510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15103" w:rsidRDefault="002151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0015C" w:rsidRDefault="0040015C">
      <w:bookmarkStart w:id="0" w:name="_GoBack"/>
      <w:bookmarkEnd w:id="0"/>
    </w:p>
    <w:sectPr w:rsidR="00400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9705A"/>
    <w:multiLevelType w:val="multilevel"/>
    <w:tmpl w:val="16DA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03"/>
    <w:rsid w:val="00215103"/>
    <w:rsid w:val="0040015C"/>
    <w:rsid w:val="00D33CA0"/>
    <w:rsid w:val="00D8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70940-799E-41FD-B933-ED8A6489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103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5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4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lick.mailings-int-bar.org/?qs=40b9995e807e73f0e55e0b30bcec5156d5899336029e93bb5e89279ebc7136d457c67696a8cdb92a2be44d4e498e3d9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ick.mailings-int-bar.org/?qs=40b9995e807e73f07425dedae68be1cd7cfa2346907017a71a921b20c7051ac3a07c68bbfbed9e380869e3b7d1b13cbe" TargetMode="External"/><Relationship Id="rId12" Type="http://schemas.openxmlformats.org/officeDocument/2006/relationships/hyperlink" Target="http://click.mailings-int-bar.org/?qs=40b9995e807e73f056424dc29022355b279d1645e5d79bda8422ebbd2129665b5faf6b691126fde1875562a6f300c187" TargetMode="External"/><Relationship Id="rId17" Type="http://schemas.openxmlformats.org/officeDocument/2006/relationships/hyperlink" Target="http://click.mailings-int-bar.org/?qs=c92bc101c36d63b7d5e342b85ca73d9a11d5e6dbcc9816e34d85f74a2a46f4e02f5f8ddd96da2bd633d0120b0a06549e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a.daniel@int-bar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lick.mailings-int-bar.org/?qs=40b9995e807e73f07743e1a6dbf000a9490597ecc1ece44759ffe84c2a7b9ea8e58f3b11573f615beacf2565ae9c3f5b" TargetMode="External"/><Relationship Id="rId11" Type="http://schemas.openxmlformats.org/officeDocument/2006/relationships/hyperlink" Target="http://click.mailings-int-bar.org/?qs=40b9995e807e73f09bd201c3034fe11a09cb36498ed2d06ad5056be688c527052f4f1e59febf0c5f3b5c1f788abb651f" TargetMode="External"/><Relationship Id="rId5" Type="http://schemas.openxmlformats.org/officeDocument/2006/relationships/hyperlink" Target="http://click.mailings-int-bar.org/?qs=40b9995e807e73f056424dc29022355b279d1645e5d79bda8422ebbd2129665b5faf6b691126fde1875562a6f300c187" TargetMode="External"/><Relationship Id="rId15" Type="http://schemas.openxmlformats.org/officeDocument/2006/relationships/hyperlink" Target="http://click.mailings-int-bar.org/?qs=c92bc101c36d63b707c0bce157aa6a5187248fc154384a86b2e9fa5071384bec563f00a1006faf9a5a12ac728ca29f44" TargetMode="External"/><Relationship Id="rId10" Type="http://schemas.openxmlformats.org/officeDocument/2006/relationships/hyperlink" Target="http://click.mailings-int-bar.org/?qs=40b9995e807e73f0e1b787157f99513124988768a4112f7b6c06ae4d212fce03ebc2101ee14b39ead1a586118727a99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lick.mailings-int-bar.org/?qs=40b9995e807e73f0593e31ad2add3762e720a3d36fc709d76c42e4ceb4b7bbc04847b03adcc6457ac0f3240d5418bcfb" TargetMode="External"/><Relationship Id="rId14" Type="http://schemas.openxmlformats.org/officeDocument/2006/relationships/hyperlink" Target="http://click.mailings-int-bar.org/?qs=40b9995e807e73f0eb6de3a0c93f0ae9be74a46bb5e26d6bf058b21c9f46bba3e1ddafb956992fcb659c2239aadccc2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7864</Characters>
  <Application>Microsoft Office Word</Application>
  <DocSecurity>0</DocSecurity>
  <Lines>65</Lines>
  <Paragraphs>18</Paragraphs>
  <ScaleCrop>false</ScaleCrop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Matjasik</dc:creator>
  <cp:keywords/>
  <dc:description/>
  <cp:lastModifiedBy>Izabela Matjasik</cp:lastModifiedBy>
  <cp:revision>1</cp:revision>
  <dcterms:created xsi:type="dcterms:W3CDTF">2020-09-16T12:29:00Z</dcterms:created>
  <dcterms:modified xsi:type="dcterms:W3CDTF">2020-09-16T12:29:00Z</dcterms:modified>
</cp:coreProperties>
</file>